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D6270EA">
      <w:pPr>
        <w:jc w:val="distribute"/>
        <w:rPr>
          <w:rFonts w:hint="eastAsia" w:ascii="宋体" w:hAnsi="宋体" w:eastAsia="宋体" w:cs="宋体"/>
          <w:b/>
          <w:bCs/>
          <w:color w:val="FF0000"/>
          <w:spacing w:val="-23"/>
          <w:w w:val="80"/>
          <w:sz w:val="72"/>
          <w:szCs w:val="72"/>
          <w:lang w:val="en-US" w:eastAsia="zh-CN"/>
        </w:rPr>
      </w:pPr>
      <w:r>
        <w:rPr>
          <w:rFonts w:hint="eastAsia" w:ascii="宋体" w:hAnsi="宋体" w:eastAsia="宋体" w:cs="宋体"/>
          <w:b/>
          <w:bCs/>
          <w:color w:val="FF0000"/>
          <w:spacing w:val="-23"/>
          <w:w w:val="80"/>
          <w:sz w:val="72"/>
          <w:szCs w:val="72"/>
          <w:lang w:val="en-US" w:eastAsia="zh-CN"/>
        </w:rPr>
        <w:t>丽江中国西部研究发展促进会</w:t>
      </w:r>
    </w:p>
    <w:p w14:paraId="113053AA">
      <w:pPr>
        <w:jc w:val="center"/>
        <w:rPr>
          <w:rFonts w:hint="eastAsia" w:ascii="宋体" w:hAnsi="宋体" w:eastAsia="宋体" w:cs="宋体"/>
          <w:b/>
          <w:bCs/>
          <w:color w:val="FF0000"/>
          <w:spacing w:val="-23"/>
          <w:w w:val="80"/>
          <w:sz w:val="72"/>
          <w:szCs w:val="72"/>
          <w:lang w:val="en-US" w:eastAsia="zh-CN"/>
        </w:rPr>
      </w:pPr>
      <w:r>
        <w:rPr>
          <w:rFonts w:hint="eastAsia" w:ascii="宋体" w:hAnsi="宋体" w:eastAsia="宋体" w:cs="宋体"/>
          <w:b/>
          <w:bCs/>
          <w:color w:val="FF0000"/>
          <w:spacing w:val="-23"/>
          <w:w w:val="80"/>
          <w:sz w:val="72"/>
          <w:szCs w:val="72"/>
          <w:lang w:val="en-US" w:eastAsia="zh-CN"/>
        </w:rPr>
        <w:t>工 作 简 报</w:t>
      </w:r>
    </w:p>
    <w:p w14:paraId="719F2A92">
      <w:pPr>
        <w:jc w:val="center"/>
        <w:rPr>
          <w:rFonts w:hint="eastAsia" w:ascii="宋体" w:hAnsi="宋体" w:eastAsia="宋体" w:cs="宋体"/>
          <w:b w:val="0"/>
          <w:bCs w:val="0"/>
          <w:color w:val="0D0D0D" w:themeColor="text1" w:themeTint="F2"/>
          <w:spacing w:val="-23"/>
          <w:w w:val="80"/>
          <w:sz w:val="32"/>
          <w:szCs w:val="40"/>
          <w:lang w:val="en-US" w:eastAsia="zh-CN"/>
          <w14:textFill>
            <w14:solidFill>
              <w14:schemeClr w14:val="tx1">
                <w14:lumMod w14:val="95000"/>
                <w14:lumOff w14:val="5000"/>
              </w14:schemeClr>
            </w14:solidFill>
          </w14:textFill>
        </w:rPr>
      </w:pPr>
      <w:r>
        <w:rPr>
          <w:rFonts w:hint="eastAsia" w:ascii="宋体" w:hAnsi="宋体" w:eastAsia="宋体" w:cs="宋体"/>
          <w:b w:val="0"/>
          <w:bCs w:val="0"/>
          <w:color w:val="0D0D0D" w:themeColor="text1" w:themeTint="F2"/>
          <w:spacing w:val="-23"/>
          <w:w w:val="80"/>
          <w:sz w:val="32"/>
          <w:szCs w:val="40"/>
          <w:lang w:val="en-US" w:eastAsia="zh-CN"/>
          <w14:textFill>
            <w14:solidFill>
              <w14:schemeClr w14:val="tx1">
                <w14:lumMod w14:val="95000"/>
                <w14:lumOff w14:val="5000"/>
              </w14:schemeClr>
            </w14:solidFill>
          </w14:textFill>
        </w:rPr>
        <w:t>第一</w:t>
      </w:r>
      <w:bookmarkStart w:id="0" w:name="_GoBack"/>
      <w:bookmarkEnd w:id="0"/>
      <w:r>
        <w:rPr>
          <w:rFonts w:hint="eastAsia" w:ascii="宋体" w:hAnsi="宋体" w:eastAsia="宋体" w:cs="宋体"/>
          <w:b w:val="0"/>
          <w:bCs w:val="0"/>
          <w:color w:val="0D0D0D" w:themeColor="text1" w:themeTint="F2"/>
          <w:spacing w:val="-23"/>
          <w:w w:val="80"/>
          <w:sz w:val="32"/>
          <w:szCs w:val="40"/>
          <w:lang w:val="en-US" w:eastAsia="zh-CN"/>
          <w14:textFill>
            <w14:solidFill>
              <w14:schemeClr w14:val="tx1">
                <w14:lumMod w14:val="95000"/>
                <w14:lumOff w14:val="5000"/>
              </w14:schemeClr>
            </w14:solidFill>
          </w14:textFill>
        </w:rPr>
        <w:t>期</w:t>
      </w:r>
    </w:p>
    <w:p w14:paraId="34230A3B">
      <w:pPr>
        <w:jc w:val="left"/>
        <w:rPr>
          <w:rFonts w:hint="default" w:ascii="宋体" w:hAnsi="宋体" w:eastAsia="宋体" w:cs="宋体"/>
          <w:b w:val="0"/>
          <w:bCs w:val="0"/>
          <w:color w:val="0D0D0D" w:themeColor="text1" w:themeTint="F2"/>
          <w:spacing w:val="-23"/>
          <w:w w:val="80"/>
          <w:sz w:val="32"/>
          <w:szCs w:val="40"/>
          <w:lang w:val="en-US" w:eastAsia="zh-CN"/>
          <w14:textFill>
            <w14:solidFill>
              <w14:schemeClr w14:val="tx1">
                <w14:lumMod w14:val="95000"/>
                <w14:lumOff w14:val="5000"/>
              </w14:schemeClr>
            </w14:solidFill>
          </w14:textFill>
        </w:rPr>
      </w:pPr>
      <w:r>
        <w:rPr>
          <w:rFonts w:hint="eastAsia" w:ascii="宋体" w:hAnsi="宋体" w:eastAsia="宋体" w:cs="宋体"/>
          <w:b w:val="0"/>
          <w:bCs w:val="0"/>
          <w:color w:val="0D0D0D" w:themeColor="text1" w:themeTint="F2"/>
          <w:spacing w:val="-23"/>
          <w:w w:val="80"/>
          <w:sz w:val="32"/>
          <w:szCs w:val="40"/>
          <w:lang w:val="en-US" w:eastAsia="zh-CN"/>
          <w14:textFill>
            <w14:solidFill>
              <w14:schemeClr w14:val="tx1">
                <w14:lumMod w14:val="95000"/>
                <w14:lumOff w14:val="5000"/>
              </w14:schemeClr>
            </w14:solidFill>
          </w14:textFill>
        </w:rPr>
        <w:t>丽江西促会办公室编                                                          2024年6月8日</w:t>
      </w:r>
    </w:p>
    <w:p w14:paraId="5A3B76A7">
      <w:pPr>
        <w:jc w:val="distribute"/>
      </w:pPr>
      <w:r>
        <mc:AlternateContent>
          <mc:Choice Requires="wps">
            <w:drawing>
              <wp:anchor distT="0" distB="0" distL="114300" distR="114300" simplePos="0" relativeHeight="251659264" behindDoc="0" locked="0" layoutInCell="1" allowOverlap="1">
                <wp:simplePos x="0" y="0"/>
                <wp:positionH relativeFrom="column">
                  <wp:posOffset>-447040</wp:posOffset>
                </wp:positionH>
                <wp:positionV relativeFrom="paragraph">
                  <wp:posOffset>9525</wp:posOffset>
                </wp:positionV>
                <wp:extent cx="6190615" cy="0"/>
                <wp:effectExtent l="0" t="6350" r="0" b="6350"/>
                <wp:wrapNone/>
                <wp:docPr id="5" name="直接连接符 5"/>
                <wp:cNvGraphicFramePr/>
                <a:graphic xmlns:a="http://schemas.openxmlformats.org/drawingml/2006/main">
                  <a:graphicData uri="http://schemas.microsoft.com/office/word/2010/wordprocessingShape">
                    <wps:wsp>
                      <wps:cNvCnPr/>
                      <wps:spPr>
                        <a:xfrm>
                          <a:off x="0" y="0"/>
                          <a:ext cx="6190615" cy="0"/>
                        </a:xfrm>
                        <a:prstGeom prst="line">
                          <a:avLst/>
                        </a:prstGeom>
                        <a:ln w="28575" cmpd="sng">
                          <a:solidFill>
                            <a:srgbClr val="FF0000"/>
                          </a:solidFill>
                          <a:prstDash val="soli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35.2pt;margin-top:0.75pt;height:0pt;width:487.45pt;z-index:251659264;mso-width-relative:page;mso-height-relative:page;" filled="f" stroked="t" coordsize="21600,21600" o:gfxdata="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CTfyBfWAAAA&#10;BwEAAA8AAAAAAAAAAQAgAAAAIgAAAGRycy9kb3ducmV2LnhtbFBLAQIUABQAAAAIAIdO4kAM/6Si&#10;5gEAALIDAAAOAAAAAAAAAAEAIAAAACUBAABkcnMvZTJvRG9jLnhtbFBLBQYAAAAABgAGAFkBAAB9&#10;BQAAAAA=&#10;">
                <v:fill on="f" focussize="0,0"/>
                <v:stroke weight="2.25pt" color="#FF0000 [3204]" miterlimit="8" joinstyle="miter"/>
                <v:imagedata o:title=""/>
                <o:lock v:ext="edit" aspectratio="f"/>
              </v:line>
            </w:pict>
          </mc:Fallback>
        </mc:AlternateContent>
      </w:r>
    </w:p>
    <w:p w14:paraId="4B94C0AB">
      <w:pPr>
        <w:jc w:val="center"/>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赴会员单位宁蒗摩梭山泉</w:t>
      </w:r>
    </w:p>
    <w:p w14:paraId="1613BFF4">
      <w:pPr>
        <w:jc w:val="center"/>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考察调研工作简报</w:t>
      </w:r>
    </w:p>
    <w:p w14:paraId="7D2772BC">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近日，丽江西促会常务副会长兼秘书长熊绍文、办公室主任谭龙一行到会员单位宁蒗摩梭山泉考察调研。重点围绕会员单位的生产经营、技术创新、市场拓展、生产加工等方面进行了深入调研，并与会员单位负责人及相关工作人员进行了面对面的交流与沟通。</w:t>
      </w:r>
      <w:r>
        <w:rPr>
          <w:rFonts w:hint="eastAsia" w:ascii="方正仿宋_GBK" w:hAnsi="方正仿宋_GBK" w:eastAsia="方正仿宋_GBK" w:cs="方正仿宋_GBK"/>
          <w:sz w:val="32"/>
          <w:szCs w:val="32"/>
          <w:lang w:val="en-US" w:eastAsia="zh-CN"/>
        </w:rPr>
        <w:drawing>
          <wp:inline distT="0" distB="0" distL="114300" distR="114300">
            <wp:extent cx="5264785" cy="3319145"/>
            <wp:effectExtent l="0" t="0" r="12065" b="14605"/>
            <wp:docPr id="1" name="图片 1" descr="ec3515a56ba42a6de861eb00b70dd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c3515a56ba42a6de861eb00b70dd99"/>
                    <pic:cNvPicPr>
                      <a:picLocks noChangeAspect="1"/>
                    </pic:cNvPicPr>
                  </pic:nvPicPr>
                  <pic:blipFill>
                    <a:blip r:embed="rId4"/>
                    <a:stretch>
                      <a:fillRect/>
                    </a:stretch>
                  </pic:blipFill>
                  <pic:spPr>
                    <a:xfrm>
                      <a:off x="0" y="0"/>
                      <a:ext cx="5264785" cy="3319145"/>
                    </a:xfrm>
                    <a:prstGeom prst="rect">
                      <a:avLst/>
                    </a:prstGeom>
                  </pic:spPr>
                </pic:pic>
              </a:graphicData>
            </a:graphic>
          </wp:inline>
        </w:drawing>
      </w:r>
    </w:p>
    <w:p w14:paraId="5D9714C7">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在调研过程中，不仅了解到摩梭山泉的水源地、生产过程，还通过摩梭山泉负责人的反映了解到在企业发展过程中遇到的困难和问题，会内领导表示将充分发挥丽江西促会的资源优势和平台作用，积极协调各方力量，为会员单位提供切实有效的帮助和支持。</w:t>
      </w:r>
    </w:p>
    <w:p w14:paraId="4702AF27">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通过本次考察调研活动，不仅对会员单位的发展现状有了更全面、更深入的了解，同时也为丽江西促会今后的工作指明了方向。</w:t>
      </w:r>
      <w:r>
        <w:rPr>
          <w:rFonts w:hint="eastAsia" w:ascii="方正仿宋_GBK" w:hAnsi="方正仿宋_GBK" w:eastAsia="方正仿宋_GBK" w:cs="方正仿宋_GBK"/>
          <w:sz w:val="32"/>
          <w:szCs w:val="32"/>
          <w:lang w:val="en-US" w:eastAsia="zh-CN"/>
        </w:rPr>
        <w:drawing>
          <wp:inline distT="0" distB="0" distL="114300" distR="114300">
            <wp:extent cx="5266690" cy="3950335"/>
            <wp:effectExtent l="0" t="0" r="10160" b="12065"/>
            <wp:docPr id="2" name="图片 2" descr="6137412985f071b3d08374cbff59df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6137412985f071b3d08374cbff59dfe"/>
                    <pic:cNvPicPr>
                      <a:picLocks noChangeAspect="1"/>
                    </pic:cNvPicPr>
                  </pic:nvPicPr>
                  <pic:blipFill>
                    <a:blip r:embed="rId5"/>
                    <a:stretch>
                      <a:fillRect/>
                    </a:stretch>
                  </pic:blipFill>
                  <pic:spPr>
                    <a:xfrm>
                      <a:off x="0" y="0"/>
                      <a:ext cx="5266690" cy="3950335"/>
                    </a:xfrm>
                    <a:prstGeom prst="rect">
                      <a:avLst/>
                    </a:prstGeom>
                  </pic:spPr>
                </pic:pic>
              </a:graphicData>
            </a:graphic>
          </wp:inline>
        </w:drawing>
      </w:r>
    </w:p>
    <w:p w14:paraId="6048071B">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丽江西促会今后将进一步加强与会员单位的沟通与联系，建立健全常态化的服务机制，及时了解会员单位的需求和诉求，为会员单位提供更加优质、高效的服务。</w:t>
      </w:r>
    </w:p>
    <w:p w14:paraId="7456E980">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针对会员单位反映的共性问题和突出困难，协会将组织开展专题培训研讨会、交流会等活动，邀请专家学者和行业精英进行授课和指导，帮助会员单位提升自身核心竞争力。</w:t>
      </w:r>
    </w:p>
    <w:p w14:paraId="0EDF54B8">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丽江西促会将充分发挥自身的桥梁纽带作用，积极向政府部门反映会员单位的呼声和建议，帮助会员单位了解政策方向、争取资源倾斜，为会员单位创造更加良好的发展环境。</w:t>
      </w:r>
    </w:p>
    <w:p w14:paraId="0F425D21">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此次考察调研活动是服务会员单位的重要举措，也是推动行业发展的具体行动。未来，丽江西促会将继续秉承“强党建、深研究、建平台、重服务、促发展”的宗旨，不断创新服务方式，为会员单位的发展壮大保驾护航，为行业的繁荣发展贡献力量！</w:t>
      </w:r>
    </w:p>
    <w:p w14:paraId="22E955BE">
      <w:pPr>
        <w:ind w:firstLine="420" w:firstLineChars="200"/>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1" w:fontKey="{5DF56410-7F06-48CA-A810-A748E6249DAB}"/>
  </w:font>
  <w:font w:name="方正小标宋简体">
    <w:panose1 w:val="02000000000000000000"/>
    <w:charset w:val="86"/>
    <w:family w:val="script"/>
    <w:pitch w:val="default"/>
    <w:sig w:usb0="00000001" w:usb1="08000000" w:usb2="00000000" w:usb3="00000000" w:csb0="00040000" w:csb1="00000000"/>
    <w:embedRegular r:id="rId2" w:fontKey="{03AE1F38-9421-468E-8228-557E8801F75B}"/>
  </w:font>
  <w:font w:name="方正仿宋_GBK">
    <w:panose1 w:val="02000000000000000000"/>
    <w:charset w:val="86"/>
    <w:family w:val="auto"/>
    <w:pitch w:val="default"/>
    <w:sig w:usb0="A00002BF" w:usb1="38CF7CFA" w:usb2="00082016" w:usb3="00000000" w:csb0="00040001" w:csb1="00000000"/>
    <w:embedRegular r:id="rId3" w:fontKey="{6A666EE7-466F-42F0-95B9-5399EC2222B8}"/>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7"/>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gwMjA0MDBhZTQ3NjRmYjA4ZGU1Mzg5MTFlMTIxYmUifQ=="/>
  </w:docVars>
  <w:rsids>
    <w:rsidRoot w:val="715719D0"/>
    <w:rsid w:val="14D114C2"/>
    <w:rsid w:val="19BB4FE7"/>
    <w:rsid w:val="27B97A3A"/>
    <w:rsid w:val="3E34795A"/>
    <w:rsid w:val="3EA01752"/>
    <w:rsid w:val="405D23A8"/>
    <w:rsid w:val="509436CD"/>
    <w:rsid w:val="646E548A"/>
    <w:rsid w:val="715719D0"/>
    <w:rsid w:val="79244D8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671</Words>
  <Characters>674</Characters>
  <Lines>0</Lines>
  <Paragraphs>0</Paragraphs>
  <TotalTime>0</TotalTime>
  <ScaleCrop>false</ScaleCrop>
  <LinksUpToDate>false</LinksUpToDate>
  <CharactersWithSpaces>735</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2024-11-01T08:56:00Z</dcterms:created>
  <dc:creator>须藤京一.</dc:creator>
  <cp:lastModifiedBy>博悟天通</cp:lastModifiedBy>
  <cp:lastPrinted>2024-11-06T02:54:00Z</cp:lastPrinted>
  <dcterms:modified xsi:type="dcterms:W3CDTF">2026-07-13T08:46:33Z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5884040F832B469CB81C39693BF64900_13</vt:lpwstr>
  </property>
  <property fmtid="{D5CDD505-2E9C-101B-9397-08002B2CF9AE}" pid="4" name="KSOTemplateDocerSaveRecord">
    <vt:lpwstr>eyJoZGlkIjoiNzNhZjFhODFkZWJjOGNlMTBhZDMxZDVkZWJmODc0ZTEiLCJ1c2VySWQiOiIxNDY0NjI4MTcwIn0=</vt:lpwstr>
  </property>
</Properties>
</file>